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F5FEB" w14:textId="77777777" w:rsidR="00B01312" w:rsidRDefault="00FF5CD5">
      <w:pPr>
        <w:spacing w:after="0"/>
        <w:jc w:val="center"/>
        <w:rPr>
          <w:b/>
          <w:sz w:val="40"/>
          <w:szCs w:val="40"/>
        </w:rPr>
      </w:pPr>
      <w:r>
        <w:rPr>
          <w:b/>
          <w:sz w:val="40"/>
          <w:szCs w:val="40"/>
        </w:rPr>
        <w:t>Fiche d’observation – Candidat au diplôme national</w:t>
      </w:r>
    </w:p>
    <w:p w14:paraId="3C8F7843" w14:textId="77777777" w:rsidR="00B01312" w:rsidRDefault="00B01312">
      <w:pPr>
        <w:spacing w:after="0"/>
        <w:jc w:val="center"/>
        <w:rPr>
          <w:b/>
        </w:rPr>
      </w:pPr>
    </w:p>
    <w:p w14:paraId="67057D87" w14:textId="77777777" w:rsidR="00B01312" w:rsidRDefault="00B01312">
      <w:pPr>
        <w:spacing w:after="0"/>
        <w:jc w:val="center"/>
        <w:rPr>
          <w:b/>
        </w:rPr>
      </w:pPr>
    </w:p>
    <w:p w14:paraId="58AD800E" w14:textId="77777777" w:rsidR="00B01312" w:rsidRDefault="00B01312">
      <w:pPr>
        <w:spacing w:after="0"/>
        <w:jc w:val="center"/>
        <w:rPr>
          <w:b/>
        </w:rPr>
      </w:pPr>
    </w:p>
    <w:tbl>
      <w:tblPr>
        <w:tblStyle w:val="a"/>
        <w:tblW w:w="907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938"/>
        <w:gridCol w:w="2874"/>
        <w:gridCol w:w="1328"/>
        <w:gridCol w:w="1932"/>
      </w:tblGrid>
      <w:tr w:rsidR="00B01312" w14:paraId="039D0B86" w14:textId="77777777" w:rsidTr="00B01312">
        <w:trPr>
          <w:cnfStyle w:val="100000000000" w:firstRow="1" w:lastRow="0" w:firstColumn="0" w:lastColumn="0" w:oddVBand="0" w:evenVBand="0" w:oddHBand="0" w:evenHBand="0" w:firstRowFirstColumn="0" w:firstRowLastColumn="0" w:lastRowFirstColumn="0" w:lastRowLastColumn="0"/>
          <w:trHeight w:val="1205"/>
        </w:trPr>
        <w:tc>
          <w:tcPr>
            <w:cnfStyle w:val="001000000100" w:firstRow="0" w:lastRow="0" w:firstColumn="1" w:lastColumn="0" w:oddVBand="0" w:evenVBand="0" w:oddHBand="0" w:evenHBand="0" w:firstRowFirstColumn="1" w:firstRowLastColumn="0" w:lastRowFirstColumn="0" w:lastRowLastColumn="0"/>
            <w:tcW w:w="2938" w:type="dxa"/>
          </w:tcPr>
          <w:p w14:paraId="13167507" w14:textId="77777777" w:rsidR="00B01312" w:rsidRDefault="00FF5CD5">
            <w:pPr>
              <w:jc w:val="center"/>
              <w:rPr>
                <w:color w:val="000000"/>
                <w:sz w:val="20"/>
                <w:szCs w:val="20"/>
              </w:rPr>
            </w:pPr>
            <w:r>
              <w:rPr>
                <w:color w:val="000000"/>
                <w:sz w:val="20"/>
                <w:szCs w:val="20"/>
              </w:rPr>
              <w:t>Nom et Prénom du Candidat</w:t>
            </w:r>
          </w:p>
        </w:tc>
        <w:tc>
          <w:tcPr>
            <w:tcW w:w="2874" w:type="dxa"/>
            <w:tcBorders>
              <w:bottom w:val="single" w:sz="4" w:space="0" w:color="666666"/>
            </w:tcBorders>
          </w:tcPr>
          <w:p w14:paraId="5F943C26" w14:textId="77777777" w:rsidR="00B01312" w:rsidRDefault="00FF5CD5">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 </w:t>
            </w:r>
          </w:p>
        </w:tc>
        <w:tc>
          <w:tcPr>
            <w:tcW w:w="1328" w:type="dxa"/>
            <w:tcBorders>
              <w:bottom w:val="single" w:sz="4" w:space="0" w:color="666666"/>
            </w:tcBorders>
          </w:tcPr>
          <w:p w14:paraId="54D456E5" w14:textId="77777777" w:rsidR="00B01312" w:rsidRDefault="00FF5CD5">
            <w:pPr>
              <w:cnfStyle w:val="100000000000" w:firstRow="1"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 xml:space="preserve">             Arme</w:t>
            </w:r>
          </w:p>
        </w:tc>
        <w:tc>
          <w:tcPr>
            <w:tcW w:w="1932" w:type="dxa"/>
            <w:tcBorders>
              <w:bottom w:val="single" w:sz="4" w:space="0" w:color="666666"/>
            </w:tcBorders>
          </w:tcPr>
          <w:p w14:paraId="711667E7" w14:textId="7FD60C99" w:rsidR="00B01312" w:rsidRDefault="007F0526">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873D19">
              <w:rPr>
                <w:rFonts w:ascii="Wingdings" w:eastAsia="Wingdings" w:hAnsi="Wingdings" w:cs="Wingdings"/>
                <w:bCs/>
              </w:rPr>
              <w:sym w:font="Wingdings" w:char="F0A8"/>
            </w:r>
            <w:r w:rsidR="00FF5CD5">
              <w:rPr>
                <w:b w:val="0"/>
              </w:rPr>
              <w:t xml:space="preserve"> E   </w:t>
            </w:r>
            <w:r w:rsidRPr="00873D19">
              <w:rPr>
                <w:rFonts w:ascii="Wingdings" w:eastAsia="Wingdings" w:hAnsi="Wingdings" w:cs="Wingdings"/>
                <w:bCs/>
              </w:rPr>
              <w:sym w:font="Wingdings" w:char="F0A8"/>
            </w:r>
            <w:r w:rsidR="00FF5CD5">
              <w:rPr>
                <w:b w:val="0"/>
              </w:rPr>
              <w:t xml:space="preserve"> F   </w:t>
            </w:r>
            <w:r w:rsidRPr="00873D19">
              <w:rPr>
                <w:rFonts w:ascii="Wingdings" w:eastAsia="Wingdings" w:hAnsi="Wingdings" w:cs="Wingdings"/>
                <w:bCs/>
              </w:rPr>
              <w:sym w:font="Wingdings" w:char="F0A8"/>
            </w:r>
            <w:r w:rsidR="00FF5CD5">
              <w:rPr>
                <w:b w:val="0"/>
              </w:rPr>
              <w:t xml:space="preserve"> S</w:t>
            </w:r>
            <w:r w:rsidR="00FF5CD5">
              <w:rPr>
                <w:color w:val="000000"/>
                <w:sz w:val="20"/>
                <w:szCs w:val="20"/>
              </w:rPr>
              <w:t> </w:t>
            </w:r>
          </w:p>
        </w:tc>
      </w:tr>
      <w:tr w:rsidR="00B01312" w14:paraId="2DEB5F15" w14:textId="77777777" w:rsidTr="00B01312">
        <w:trPr>
          <w:cnfStyle w:val="000000100000" w:firstRow="0" w:lastRow="0" w:firstColumn="0" w:lastColumn="0" w:oddVBand="0" w:evenVBand="0" w:oddHBand="1" w:evenHBand="0" w:firstRowFirstColumn="0" w:firstRowLastColumn="0" w:lastRowFirstColumn="0" w:lastRowLastColumn="0"/>
          <w:trHeight w:val="856"/>
        </w:trPr>
        <w:tc>
          <w:tcPr>
            <w:cnfStyle w:val="001000000000" w:firstRow="0" w:lastRow="0" w:firstColumn="1" w:lastColumn="0" w:oddVBand="0" w:evenVBand="0" w:oddHBand="0" w:evenHBand="0" w:firstRowFirstColumn="0" w:firstRowLastColumn="0" w:lastRowFirstColumn="0" w:lastRowLastColumn="0"/>
            <w:tcW w:w="2938" w:type="dxa"/>
            <w:tcBorders>
              <w:top w:val="single" w:sz="4" w:space="0" w:color="666666"/>
              <w:bottom w:val="single" w:sz="4" w:space="0" w:color="000000"/>
            </w:tcBorders>
          </w:tcPr>
          <w:p w14:paraId="3ACFB7DF" w14:textId="77777777" w:rsidR="00B01312" w:rsidRDefault="00FF5CD5">
            <w:pPr>
              <w:jc w:val="center"/>
              <w:rPr>
                <w:b/>
                <w:color w:val="000000"/>
                <w:sz w:val="20"/>
                <w:szCs w:val="20"/>
              </w:rPr>
            </w:pPr>
            <w:r>
              <w:rPr>
                <w:color w:val="000000"/>
                <w:sz w:val="20"/>
                <w:szCs w:val="20"/>
              </w:rPr>
              <w:t>Date de l'</w:t>
            </w:r>
            <w:r>
              <w:rPr>
                <w:b/>
                <w:color w:val="000000"/>
                <w:sz w:val="20"/>
                <w:szCs w:val="20"/>
              </w:rPr>
              <w:t>observation</w:t>
            </w:r>
          </w:p>
        </w:tc>
        <w:tc>
          <w:tcPr>
            <w:tcW w:w="2874" w:type="dxa"/>
            <w:tcBorders>
              <w:top w:val="single" w:sz="4" w:space="0" w:color="666666"/>
              <w:bottom w:val="single" w:sz="4" w:space="0" w:color="000000"/>
            </w:tcBorders>
          </w:tcPr>
          <w:p w14:paraId="4DCDB596" w14:textId="77777777" w:rsidR="00B01312" w:rsidRDefault="00FF5CD5">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 </w:t>
            </w:r>
          </w:p>
        </w:tc>
        <w:tc>
          <w:tcPr>
            <w:tcW w:w="1328" w:type="dxa"/>
            <w:tcBorders>
              <w:top w:val="single" w:sz="4" w:space="0" w:color="666666"/>
              <w:bottom w:val="single" w:sz="4" w:space="0" w:color="000000"/>
            </w:tcBorders>
          </w:tcPr>
          <w:p w14:paraId="67BC1195" w14:textId="77777777" w:rsidR="00B01312" w:rsidRDefault="00FF5CD5">
            <w:pP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Lieu</w:t>
            </w:r>
          </w:p>
        </w:tc>
        <w:tc>
          <w:tcPr>
            <w:tcW w:w="1932" w:type="dxa"/>
            <w:tcBorders>
              <w:top w:val="single" w:sz="4" w:space="0" w:color="666666"/>
              <w:bottom w:val="single" w:sz="4" w:space="0" w:color="000000"/>
            </w:tcBorders>
          </w:tcPr>
          <w:p w14:paraId="34FB7605" w14:textId="77777777" w:rsidR="00B01312" w:rsidRDefault="00FF5CD5">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 </w:t>
            </w:r>
          </w:p>
        </w:tc>
      </w:tr>
      <w:tr w:rsidR="00B01312" w14:paraId="76F30F5F" w14:textId="77777777" w:rsidTr="00873D19">
        <w:trPr>
          <w:trHeight w:val="930"/>
        </w:trPr>
        <w:tc>
          <w:tcPr>
            <w:cnfStyle w:val="001000000000" w:firstRow="0" w:lastRow="0" w:firstColumn="1" w:lastColumn="0" w:oddVBand="0" w:evenVBand="0" w:oddHBand="0" w:evenHBand="0" w:firstRowFirstColumn="0" w:firstRowLastColumn="0" w:lastRowFirstColumn="0" w:lastRowLastColumn="0"/>
            <w:tcW w:w="2938" w:type="dxa"/>
            <w:tcBorders>
              <w:top w:val="single" w:sz="4" w:space="0" w:color="000000"/>
              <w:bottom w:val="single" w:sz="4" w:space="0" w:color="000000"/>
            </w:tcBorders>
          </w:tcPr>
          <w:p w14:paraId="39AB641F" w14:textId="77777777" w:rsidR="00B01312" w:rsidRDefault="00FF5CD5">
            <w:pPr>
              <w:rPr>
                <w:b/>
                <w:color w:val="000000"/>
                <w:sz w:val="20"/>
                <w:szCs w:val="20"/>
              </w:rPr>
            </w:pPr>
            <w:r>
              <w:rPr>
                <w:color w:val="000000"/>
                <w:sz w:val="20"/>
                <w:szCs w:val="20"/>
              </w:rPr>
              <w:t>Nom et prénom de l'</w:t>
            </w:r>
            <w:r>
              <w:rPr>
                <w:b/>
                <w:color w:val="000000"/>
                <w:sz w:val="20"/>
                <w:szCs w:val="20"/>
              </w:rPr>
              <w:t>observateur</w:t>
            </w:r>
          </w:p>
        </w:tc>
        <w:tc>
          <w:tcPr>
            <w:tcW w:w="6134" w:type="dxa"/>
            <w:gridSpan w:val="3"/>
            <w:tcBorders>
              <w:top w:val="single" w:sz="4" w:space="0" w:color="000000"/>
              <w:bottom w:val="single" w:sz="4" w:space="0" w:color="000000"/>
            </w:tcBorders>
          </w:tcPr>
          <w:p w14:paraId="7F2CDBA4" w14:textId="77777777" w:rsidR="00B01312" w:rsidRDefault="00B01312">
            <w:pPr>
              <w:cnfStyle w:val="000000000000" w:firstRow="0" w:lastRow="0" w:firstColumn="0" w:lastColumn="0" w:oddVBand="0" w:evenVBand="0" w:oddHBand="0" w:evenHBand="0" w:firstRowFirstColumn="0" w:firstRowLastColumn="0" w:lastRowFirstColumn="0" w:lastRowLastColumn="0"/>
              <w:rPr>
                <w:color w:val="000000"/>
                <w:sz w:val="20"/>
                <w:szCs w:val="20"/>
              </w:rPr>
            </w:pPr>
          </w:p>
        </w:tc>
      </w:tr>
    </w:tbl>
    <w:p w14:paraId="65A1A5D2" w14:textId="77777777" w:rsidR="00B01312" w:rsidRDefault="00B01312">
      <w:pPr>
        <w:spacing w:after="0"/>
        <w:jc w:val="center"/>
        <w:rPr>
          <w:b/>
        </w:rPr>
      </w:pPr>
    </w:p>
    <w:p w14:paraId="50BEE4DC" w14:textId="77777777" w:rsidR="00B01312" w:rsidRDefault="00B01312">
      <w:pPr>
        <w:spacing w:after="0" w:line="240" w:lineRule="auto"/>
        <w:jc w:val="both"/>
      </w:pPr>
    </w:p>
    <w:p w14:paraId="465EB14D" w14:textId="77777777" w:rsidR="00B01312" w:rsidRDefault="00FF5CD5">
      <w:pPr>
        <w:spacing w:after="0" w:line="240" w:lineRule="auto"/>
        <w:jc w:val="center"/>
        <w:rPr>
          <w:b/>
        </w:rPr>
      </w:pPr>
      <w:r>
        <w:rPr>
          <w:b/>
        </w:rPr>
        <w:t>1 - Compétences générales obligatoires attendues d’un arbitre national diplômé.</w:t>
      </w:r>
    </w:p>
    <w:p w14:paraId="39C4A799" w14:textId="77777777" w:rsidR="00B01312" w:rsidRDefault="00B01312">
      <w:pPr>
        <w:spacing w:after="0" w:line="240" w:lineRule="auto"/>
        <w:jc w:val="center"/>
        <w:rPr>
          <w:i/>
        </w:rPr>
      </w:pPr>
    </w:p>
    <w:p w14:paraId="485E5D24" w14:textId="77777777" w:rsidR="00B01312" w:rsidRDefault="00B01312">
      <w:pPr>
        <w:spacing w:after="0" w:line="240" w:lineRule="auto"/>
        <w:jc w:val="center"/>
        <w:rPr>
          <w:b/>
        </w:rPr>
      </w:pPr>
    </w:p>
    <w:tbl>
      <w:tblPr>
        <w:tblStyle w:val="a0"/>
        <w:tblW w:w="938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555"/>
        <w:gridCol w:w="4714"/>
        <w:gridCol w:w="3120"/>
      </w:tblGrid>
      <w:tr w:rsidR="00B01312" w14:paraId="7E8A4012" w14:textId="77777777" w:rsidTr="00B01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7280FA2" w14:textId="77777777" w:rsidR="00B01312" w:rsidRDefault="00B01312">
            <w:pPr>
              <w:jc w:val="center"/>
            </w:pPr>
          </w:p>
        </w:tc>
        <w:tc>
          <w:tcPr>
            <w:tcW w:w="4714" w:type="dxa"/>
          </w:tcPr>
          <w:p w14:paraId="06ECA6BA" w14:textId="77777777" w:rsidR="00B01312" w:rsidRDefault="00B01312">
            <w:pP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3FC4DE20" w14:textId="77777777" w:rsidR="00B01312" w:rsidRDefault="00FF5CD5">
            <w:pPr>
              <w:jc w:val="center"/>
              <w:cnfStyle w:val="100000000000" w:firstRow="1" w:lastRow="0" w:firstColumn="0" w:lastColumn="0" w:oddVBand="0" w:evenVBand="0" w:oddHBand="0" w:evenHBand="0" w:firstRowFirstColumn="0" w:firstRowLastColumn="0" w:lastRowFirstColumn="0" w:lastRowLastColumn="0"/>
              <w:rPr>
                <w:i/>
              </w:rPr>
            </w:pPr>
            <w:r>
              <w:rPr>
                <w:b w:val="0"/>
                <w:i/>
              </w:rPr>
              <w:t>Observations</w:t>
            </w:r>
          </w:p>
        </w:tc>
      </w:tr>
      <w:tr w:rsidR="00B01312" w14:paraId="5305BFB1" w14:textId="77777777" w:rsidTr="00B01312">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8C8F990" w14:textId="77777777" w:rsidR="00B01312" w:rsidRDefault="00FF5CD5">
            <w:pPr>
              <w:jc w:val="center"/>
            </w:pPr>
            <w:r>
              <w:rPr>
                <w:color w:val="000000"/>
              </w:rPr>
              <w:t>Gestuelle spécifique de l'arbitre</w:t>
            </w:r>
          </w:p>
        </w:tc>
        <w:tc>
          <w:tcPr>
            <w:tcW w:w="4714" w:type="dxa"/>
            <w:vAlign w:val="center"/>
          </w:tcPr>
          <w:p w14:paraId="711AC913"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Utilisation juste et cohérente des gestes officiels (mise en garde, commandements, annonce de la phrase d'armes). Annoncer clairement le score, désigner le vainqueur. Montrer clairement les cartons le cas échéant</w:t>
            </w:r>
          </w:p>
        </w:tc>
        <w:tc>
          <w:tcPr>
            <w:tcW w:w="3120" w:type="dxa"/>
          </w:tcPr>
          <w:p w14:paraId="2BA0CDD9"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6452600A" w14:textId="77777777" w:rsidTr="00B01312">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E97DC8B" w14:textId="77777777" w:rsidR="00B01312" w:rsidRDefault="00FF5CD5">
            <w:pPr>
              <w:jc w:val="center"/>
            </w:pPr>
            <w:r>
              <w:rPr>
                <w:color w:val="000000"/>
              </w:rPr>
              <w:t>Gestion des matches, du score et du chronomètre</w:t>
            </w:r>
          </w:p>
        </w:tc>
        <w:tc>
          <w:tcPr>
            <w:tcW w:w="4714" w:type="dxa"/>
            <w:vAlign w:val="center"/>
          </w:tcPr>
          <w:p w14:paraId="42F481E9"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Annoncer clairement le match qui va débuter et celui qui suit. Tenir la feuille de poule. Gérer le chronomètre (sur l'appareil ou en manuel). Gérer le score (sur l'appareil ou en manuel)</w:t>
            </w:r>
          </w:p>
        </w:tc>
        <w:tc>
          <w:tcPr>
            <w:tcW w:w="3120" w:type="dxa"/>
          </w:tcPr>
          <w:p w14:paraId="39289113"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6D5D484A" w14:textId="77777777" w:rsidTr="00B01312">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73B4D2E" w14:textId="77777777" w:rsidR="00B01312" w:rsidRDefault="00FF5CD5">
            <w:pPr>
              <w:jc w:val="center"/>
            </w:pPr>
            <w:r>
              <w:rPr>
                <w:color w:val="000000"/>
              </w:rPr>
              <w:t>Placement de l'arbitre par rapport aux tireurs</w:t>
            </w:r>
          </w:p>
        </w:tc>
        <w:tc>
          <w:tcPr>
            <w:tcW w:w="4714" w:type="dxa"/>
            <w:vAlign w:val="center"/>
          </w:tcPr>
          <w:p w14:paraId="490CA69E"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Positionnement par rapport aux tireurs et à l'action, maintien d'un champ visuel suffisant (tireurs, appareil,...). Placer correctement les tireurs gauchers selon le contexte</w:t>
            </w:r>
          </w:p>
        </w:tc>
        <w:tc>
          <w:tcPr>
            <w:tcW w:w="3120" w:type="dxa"/>
          </w:tcPr>
          <w:p w14:paraId="0560CB20"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0FAFB60B" w14:textId="77777777" w:rsidTr="00B01312">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EAB2B88" w14:textId="77777777" w:rsidR="00B01312" w:rsidRDefault="00FF5CD5">
            <w:pPr>
              <w:jc w:val="center"/>
            </w:pPr>
            <w:r>
              <w:rPr>
                <w:color w:val="000000"/>
              </w:rPr>
              <w:t>Garantir la sécurité</w:t>
            </w:r>
          </w:p>
        </w:tc>
        <w:tc>
          <w:tcPr>
            <w:tcW w:w="4714" w:type="dxa"/>
            <w:vAlign w:val="center"/>
          </w:tcPr>
          <w:p w14:paraId="77B1C291"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S‘assurer que la pratique se fait dans le respect de la sécurité de tous</w:t>
            </w:r>
          </w:p>
        </w:tc>
        <w:tc>
          <w:tcPr>
            <w:tcW w:w="3120" w:type="dxa"/>
          </w:tcPr>
          <w:p w14:paraId="79821D6C"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bl>
    <w:p w14:paraId="62E77692" w14:textId="77777777" w:rsidR="00B01312" w:rsidRDefault="00B01312">
      <w:pPr>
        <w:spacing w:after="0" w:line="240" w:lineRule="auto"/>
        <w:rPr>
          <w:b/>
        </w:rPr>
      </w:pPr>
    </w:p>
    <w:p w14:paraId="64BCB02E" w14:textId="77777777" w:rsidR="00B01312" w:rsidRDefault="00B01312">
      <w:pPr>
        <w:spacing w:after="0" w:line="240" w:lineRule="auto"/>
        <w:rPr>
          <w:b/>
        </w:rPr>
      </w:pPr>
    </w:p>
    <w:p w14:paraId="2194D572" w14:textId="77777777" w:rsidR="00233749" w:rsidRDefault="00233749">
      <w:pPr>
        <w:rPr>
          <w:b/>
        </w:rPr>
      </w:pPr>
      <w:r>
        <w:rPr>
          <w:b/>
        </w:rPr>
        <w:br w:type="page"/>
      </w:r>
    </w:p>
    <w:p w14:paraId="35BFB931" w14:textId="332806AC" w:rsidR="00B01312" w:rsidRDefault="00FF5CD5">
      <w:pPr>
        <w:spacing w:after="0" w:line="240" w:lineRule="auto"/>
        <w:jc w:val="center"/>
        <w:rPr>
          <w:b/>
        </w:rPr>
      </w:pPr>
      <w:r>
        <w:rPr>
          <w:b/>
        </w:rPr>
        <w:lastRenderedPageBreak/>
        <w:t>2.Compétences générales additionnelles attendues d’un arbitre national diplômé.</w:t>
      </w:r>
    </w:p>
    <w:p w14:paraId="17305688" w14:textId="77777777" w:rsidR="00B01312" w:rsidRDefault="00B01312">
      <w:pPr>
        <w:spacing w:after="0" w:line="240" w:lineRule="auto"/>
        <w:jc w:val="center"/>
        <w:rPr>
          <w:b/>
        </w:rPr>
      </w:pPr>
    </w:p>
    <w:tbl>
      <w:tblPr>
        <w:tblStyle w:val="a1"/>
        <w:tblW w:w="938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555"/>
        <w:gridCol w:w="4714"/>
        <w:gridCol w:w="3120"/>
      </w:tblGrid>
      <w:tr w:rsidR="00B01312" w14:paraId="7D8F3653" w14:textId="77777777" w:rsidTr="00B01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4746F0E" w14:textId="77777777" w:rsidR="00B01312" w:rsidRDefault="00B01312">
            <w:pPr>
              <w:jc w:val="center"/>
            </w:pPr>
          </w:p>
        </w:tc>
        <w:tc>
          <w:tcPr>
            <w:tcW w:w="4714" w:type="dxa"/>
          </w:tcPr>
          <w:p w14:paraId="71D54925" w14:textId="77777777" w:rsidR="00B01312" w:rsidRDefault="00B01312">
            <w:pP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1E640136" w14:textId="77777777" w:rsidR="00B01312" w:rsidRDefault="00FF5CD5">
            <w:pPr>
              <w:jc w:val="center"/>
              <w:cnfStyle w:val="100000000000" w:firstRow="1" w:lastRow="0" w:firstColumn="0" w:lastColumn="0" w:oddVBand="0" w:evenVBand="0" w:oddHBand="0" w:evenHBand="0" w:firstRowFirstColumn="0" w:firstRowLastColumn="0" w:lastRowFirstColumn="0" w:lastRowLastColumn="0"/>
            </w:pPr>
            <w:r>
              <w:rPr>
                <w:b w:val="0"/>
                <w:i/>
              </w:rPr>
              <w:t>Observations</w:t>
            </w:r>
          </w:p>
        </w:tc>
      </w:tr>
      <w:tr w:rsidR="00B01312" w14:paraId="75B86A45" w14:textId="77777777" w:rsidTr="00B01312">
        <w:trPr>
          <w:trHeight w:val="732"/>
        </w:trPr>
        <w:tc>
          <w:tcPr>
            <w:cnfStyle w:val="001000000000" w:firstRow="0" w:lastRow="0" w:firstColumn="1" w:lastColumn="0" w:oddVBand="0" w:evenVBand="0" w:oddHBand="0" w:evenHBand="0" w:firstRowFirstColumn="0" w:firstRowLastColumn="0" w:lastRowFirstColumn="0" w:lastRowLastColumn="0"/>
            <w:tcW w:w="1555" w:type="dxa"/>
            <w:vMerge w:val="restart"/>
            <w:vAlign w:val="center"/>
          </w:tcPr>
          <w:p w14:paraId="7A2419D1" w14:textId="77777777" w:rsidR="00B01312" w:rsidRDefault="00FF5CD5">
            <w:pPr>
              <w:jc w:val="center"/>
            </w:pPr>
            <w:r>
              <w:rPr>
                <w:color w:val="000000"/>
                <w:sz w:val="20"/>
                <w:szCs w:val="20"/>
              </w:rPr>
              <w:t>Attitude, prestance de l’arbitre</w:t>
            </w:r>
          </w:p>
        </w:tc>
        <w:tc>
          <w:tcPr>
            <w:tcW w:w="4714" w:type="dxa"/>
            <w:vAlign w:val="center"/>
          </w:tcPr>
          <w:p w14:paraId="55FF56F1"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Adéquation de la tenue vestimentaire avec la fonction d’arbitre</w:t>
            </w:r>
          </w:p>
        </w:tc>
        <w:tc>
          <w:tcPr>
            <w:tcW w:w="3120" w:type="dxa"/>
          </w:tcPr>
          <w:p w14:paraId="3FB74AAB"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52DE75E7" w14:textId="77777777" w:rsidTr="00B01312">
        <w:trPr>
          <w:trHeight w:val="732"/>
        </w:trPr>
        <w:tc>
          <w:tcPr>
            <w:cnfStyle w:val="001000000000" w:firstRow="0" w:lastRow="0" w:firstColumn="1" w:lastColumn="0" w:oddVBand="0" w:evenVBand="0" w:oddHBand="0" w:evenHBand="0" w:firstRowFirstColumn="0" w:firstRowLastColumn="0" w:lastRowFirstColumn="0" w:lastRowLastColumn="0"/>
            <w:tcW w:w="1555" w:type="dxa"/>
            <w:vMerge/>
            <w:vAlign w:val="center"/>
          </w:tcPr>
          <w:p w14:paraId="3ED1C557" w14:textId="77777777" w:rsidR="00B01312" w:rsidRDefault="00B01312">
            <w:pPr>
              <w:widowControl w:val="0"/>
              <w:pBdr>
                <w:top w:val="nil"/>
                <w:left w:val="nil"/>
                <w:bottom w:val="nil"/>
                <w:right w:val="nil"/>
                <w:between w:val="nil"/>
              </w:pBdr>
              <w:spacing w:line="276" w:lineRule="auto"/>
              <w:rPr>
                <w:b w:val="0"/>
              </w:rPr>
            </w:pPr>
          </w:p>
        </w:tc>
        <w:tc>
          <w:tcPr>
            <w:tcW w:w="4714" w:type="dxa"/>
            <w:vAlign w:val="center"/>
          </w:tcPr>
          <w:p w14:paraId="108C6038"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 xml:space="preserve">Voix audible, justesse des termes, clarté de l’expression orale, </w:t>
            </w:r>
            <w:r>
              <w:rPr>
                <w:sz w:val="20"/>
                <w:szCs w:val="20"/>
              </w:rPr>
              <w:t>maîtrise</w:t>
            </w:r>
            <w:r>
              <w:rPr>
                <w:color w:val="000000"/>
                <w:sz w:val="20"/>
                <w:szCs w:val="20"/>
              </w:rPr>
              <w:t xml:space="preserve"> de sa communication non verbale, aptitude à rester calme et objectif</w:t>
            </w:r>
          </w:p>
        </w:tc>
        <w:tc>
          <w:tcPr>
            <w:tcW w:w="3120" w:type="dxa"/>
          </w:tcPr>
          <w:p w14:paraId="7453EE00"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72CAADE0" w14:textId="77777777" w:rsidTr="00B01312">
        <w:trPr>
          <w:trHeight w:val="732"/>
        </w:trPr>
        <w:tc>
          <w:tcPr>
            <w:cnfStyle w:val="001000000000" w:firstRow="0" w:lastRow="0" w:firstColumn="1" w:lastColumn="0" w:oddVBand="0" w:evenVBand="0" w:oddHBand="0" w:evenHBand="0" w:firstRowFirstColumn="0" w:firstRowLastColumn="0" w:lastRowFirstColumn="0" w:lastRowLastColumn="0"/>
            <w:tcW w:w="1555" w:type="dxa"/>
            <w:vMerge w:val="restart"/>
            <w:vAlign w:val="center"/>
          </w:tcPr>
          <w:p w14:paraId="3B5DFB28" w14:textId="77777777" w:rsidR="00B01312" w:rsidRDefault="00FF5CD5">
            <w:pPr>
              <w:jc w:val="center"/>
            </w:pPr>
            <w:r>
              <w:rPr>
                <w:color w:val="000000"/>
                <w:sz w:val="20"/>
                <w:szCs w:val="20"/>
              </w:rPr>
              <w:t>Autorité &amp; pédagogie</w:t>
            </w:r>
          </w:p>
        </w:tc>
        <w:tc>
          <w:tcPr>
            <w:tcW w:w="4714" w:type="dxa"/>
            <w:vAlign w:val="center"/>
          </w:tcPr>
          <w:p w14:paraId="1F78F803"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 xml:space="preserve">Maintien de l’ordre sur et en dehors de la piste (tireurs, </w:t>
            </w:r>
            <w:r>
              <w:rPr>
                <w:sz w:val="20"/>
                <w:szCs w:val="20"/>
              </w:rPr>
              <w:t>entraîneurs,</w:t>
            </w:r>
            <w:r>
              <w:rPr>
                <w:color w:val="000000"/>
                <w:sz w:val="20"/>
                <w:szCs w:val="20"/>
              </w:rPr>
              <w:t xml:space="preserve"> spectateurs). Capacité à imposer ses décisions</w:t>
            </w:r>
          </w:p>
        </w:tc>
        <w:tc>
          <w:tcPr>
            <w:tcW w:w="3120" w:type="dxa"/>
          </w:tcPr>
          <w:p w14:paraId="7ECF53B1"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7BA57ABF" w14:textId="77777777" w:rsidTr="00B01312">
        <w:trPr>
          <w:trHeight w:val="732"/>
        </w:trPr>
        <w:tc>
          <w:tcPr>
            <w:cnfStyle w:val="001000000000" w:firstRow="0" w:lastRow="0" w:firstColumn="1" w:lastColumn="0" w:oddVBand="0" w:evenVBand="0" w:oddHBand="0" w:evenHBand="0" w:firstRowFirstColumn="0" w:firstRowLastColumn="0" w:lastRowFirstColumn="0" w:lastRowLastColumn="0"/>
            <w:tcW w:w="1555" w:type="dxa"/>
            <w:vMerge/>
            <w:vAlign w:val="center"/>
          </w:tcPr>
          <w:p w14:paraId="647D5EE3" w14:textId="77777777" w:rsidR="00B01312" w:rsidRDefault="00B01312">
            <w:pPr>
              <w:widowControl w:val="0"/>
              <w:pBdr>
                <w:top w:val="nil"/>
                <w:left w:val="nil"/>
                <w:bottom w:val="nil"/>
                <w:right w:val="nil"/>
                <w:between w:val="nil"/>
              </w:pBdr>
              <w:spacing w:line="276" w:lineRule="auto"/>
              <w:rPr>
                <w:b w:val="0"/>
              </w:rPr>
            </w:pPr>
          </w:p>
        </w:tc>
        <w:tc>
          <w:tcPr>
            <w:tcW w:w="4714" w:type="dxa"/>
            <w:vAlign w:val="center"/>
          </w:tcPr>
          <w:p w14:paraId="38AE15B0"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Pédagogie vis-à-vis des tireurs, aptitude à expliquer ses décisions et à les faire accepter</w:t>
            </w:r>
          </w:p>
        </w:tc>
        <w:tc>
          <w:tcPr>
            <w:tcW w:w="3120" w:type="dxa"/>
          </w:tcPr>
          <w:p w14:paraId="0982D802"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07A4F7DA" w14:textId="77777777" w:rsidTr="00B01312">
        <w:trPr>
          <w:trHeight w:val="733"/>
        </w:trPr>
        <w:tc>
          <w:tcPr>
            <w:cnfStyle w:val="001000000000" w:firstRow="0" w:lastRow="0" w:firstColumn="1" w:lastColumn="0" w:oddVBand="0" w:evenVBand="0" w:oddHBand="0" w:evenHBand="0" w:firstRowFirstColumn="0" w:firstRowLastColumn="0" w:lastRowFirstColumn="0" w:lastRowLastColumn="0"/>
            <w:tcW w:w="1555" w:type="dxa"/>
            <w:vMerge/>
            <w:vAlign w:val="center"/>
          </w:tcPr>
          <w:p w14:paraId="1662F02B" w14:textId="77777777" w:rsidR="00B01312" w:rsidRDefault="00B01312">
            <w:pPr>
              <w:widowControl w:val="0"/>
              <w:pBdr>
                <w:top w:val="nil"/>
                <w:left w:val="nil"/>
                <w:bottom w:val="nil"/>
                <w:right w:val="nil"/>
                <w:between w:val="nil"/>
              </w:pBdr>
              <w:spacing w:line="276" w:lineRule="auto"/>
              <w:rPr>
                <w:b w:val="0"/>
              </w:rPr>
            </w:pPr>
          </w:p>
        </w:tc>
        <w:tc>
          <w:tcPr>
            <w:tcW w:w="4714" w:type="dxa"/>
            <w:vAlign w:val="center"/>
          </w:tcPr>
          <w:p w14:paraId="6CA461FB"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b/>
                <w:sz w:val="20"/>
                <w:szCs w:val="20"/>
              </w:rPr>
            </w:pPr>
            <w:r>
              <w:rPr>
                <w:color w:val="000000"/>
                <w:sz w:val="20"/>
                <w:szCs w:val="20"/>
              </w:rPr>
              <w:t>Dynamisme, capacité à prendre des initiatives pour contribuer au bon avancement de la compétition, capacité à détecter des pannes</w:t>
            </w:r>
          </w:p>
        </w:tc>
        <w:tc>
          <w:tcPr>
            <w:tcW w:w="3120" w:type="dxa"/>
          </w:tcPr>
          <w:p w14:paraId="794FDB82"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bl>
    <w:p w14:paraId="5EC50FC7" w14:textId="77777777" w:rsidR="00B01312" w:rsidRDefault="00B01312">
      <w:pPr>
        <w:spacing w:after="0" w:line="240" w:lineRule="auto"/>
        <w:jc w:val="center"/>
        <w:rPr>
          <w:b/>
        </w:rPr>
      </w:pPr>
    </w:p>
    <w:p w14:paraId="698F175A" w14:textId="77777777" w:rsidR="00B01312" w:rsidRDefault="00B01312">
      <w:pPr>
        <w:spacing w:after="0"/>
        <w:jc w:val="center"/>
        <w:rPr>
          <w:b/>
        </w:rPr>
      </w:pPr>
    </w:p>
    <w:p w14:paraId="317FC132" w14:textId="77777777" w:rsidR="00B01312" w:rsidRDefault="00FF5CD5">
      <w:pPr>
        <w:spacing w:after="0" w:line="240" w:lineRule="auto"/>
        <w:jc w:val="center"/>
        <w:rPr>
          <w:b/>
        </w:rPr>
      </w:pPr>
      <w:r>
        <w:rPr>
          <w:b/>
        </w:rPr>
        <w:t>3 - Compétences spécifiques attendues d’un arbitre national diplômé.</w:t>
      </w:r>
    </w:p>
    <w:p w14:paraId="0D236B6A" w14:textId="77777777" w:rsidR="00B01312" w:rsidRDefault="00B01312">
      <w:pPr>
        <w:spacing w:after="0" w:line="240" w:lineRule="auto"/>
        <w:jc w:val="center"/>
        <w:rPr>
          <w:b/>
        </w:rPr>
      </w:pPr>
    </w:p>
    <w:tbl>
      <w:tblPr>
        <w:tblStyle w:val="a2"/>
        <w:tblW w:w="938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1555"/>
        <w:gridCol w:w="4714"/>
        <w:gridCol w:w="3120"/>
      </w:tblGrid>
      <w:tr w:rsidR="00B01312" w14:paraId="068E8C4A" w14:textId="77777777" w:rsidTr="00B01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2DC8997" w14:textId="77777777" w:rsidR="00B01312" w:rsidRDefault="00B01312">
            <w:pPr>
              <w:jc w:val="center"/>
            </w:pPr>
          </w:p>
        </w:tc>
        <w:tc>
          <w:tcPr>
            <w:tcW w:w="4714" w:type="dxa"/>
          </w:tcPr>
          <w:p w14:paraId="019735A9" w14:textId="77777777" w:rsidR="00B01312" w:rsidRDefault="00B01312">
            <w:pP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20F232AB" w14:textId="77777777" w:rsidR="00B01312" w:rsidRDefault="00FF5CD5">
            <w:pPr>
              <w:jc w:val="center"/>
              <w:cnfStyle w:val="100000000000" w:firstRow="1" w:lastRow="0" w:firstColumn="0" w:lastColumn="0" w:oddVBand="0" w:evenVBand="0" w:oddHBand="0" w:evenHBand="0" w:firstRowFirstColumn="0" w:firstRowLastColumn="0" w:lastRowFirstColumn="0" w:lastRowLastColumn="0"/>
            </w:pPr>
            <w:r>
              <w:rPr>
                <w:b w:val="0"/>
                <w:i/>
              </w:rPr>
              <w:t>Observations</w:t>
            </w:r>
          </w:p>
        </w:tc>
      </w:tr>
      <w:tr w:rsidR="00B01312" w14:paraId="74386304" w14:textId="77777777" w:rsidTr="00B01312">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25A89A69" w14:textId="77777777" w:rsidR="00B01312" w:rsidRDefault="00FF5CD5">
            <w:pPr>
              <w:jc w:val="center"/>
            </w:pPr>
            <w:r>
              <w:rPr>
                <w:color w:val="000000"/>
              </w:rPr>
              <w:t>Analyse de la phrase d’armes</w:t>
            </w:r>
          </w:p>
        </w:tc>
        <w:tc>
          <w:tcPr>
            <w:tcW w:w="4714" w:type="dxa"/>
            <w:vAlign w:val="center"/>
          </w:tcPr>
          <w:p w14:paraId="50386DB8"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La phrase d’armes annoncée est correcte et l’attribution des points est juste dans plus de 80 % (A) voire 90% (AM) des cas</w:t>
            </w:r>
          </w:p>
        </w:tc>
        <w:tc>
          <w:tcPr>
            <w:tcW w:w="3120" w:type="dxa"/>
          </w:tcPr>
          <w:p w14:paraId="1FD61D8D"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4CCDF7EC" w14:textId="77777777" w:rsidTr="00B01312">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323B8485" w14:textId="77777777" w:rsidR="00B01312" w:rsidRDefault="00FF5CD5">
            <w:pPr>
              <w:jc w:val="center"/>
            </w:pPr>
            <w:r>
              <w:t>Fautes de combat</w:t>
            </w:r>
          </w:p>
        </w:tc>
        <w:tc>
          <w:tcPr>
            <w:tcW w:w="4714" w:type="dxa"/>
            <w:vAlign w:val="center"/>
          </w:tcPr>
          <w:p w14:paraId="3057A3BB"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Les fautes de combat sont sanctionnées avec justesse dans plus de 80 % (A) voire 90 % (AM) des cas, les sanctions sont données dans le respect du règlement technique</w:t>
            </w:r>
          </w:p>
        </w:tc>
        <w:tc>
          <w:tcPr>
            <w:tcW w:w="3120" w:type="dxa"/>
          </w:tcPr>
          <w:p w14:paraId="2D31065D"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11A035CD" w14:textId="77777777" w:rsidTr="00B01312">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14AD0648" w14:textId="77777777" w:rsidR="00B01312" w:rsidRDefault="00FF5CD5">
            <w:pPr>
              <w:jc w:val="center"/>
            </w:pPr>
            <w:r>
              <w:t>Respect des règles du jeu</w:t>
            </w:r>
          </w:p>
        </w:tc>
        <w:tc>
          <w:tcPr>
            <w:tcW w:w="4714" w:type="dxa"/>
            <w:vAlign w:val="center"/>
          </w:tcPr>
          <w:p w14:paraId="4CD6C110"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Les situations de sorties de piste, de corps à corps, de combat rapproché, de dépassement sont appréhendées correctement dans plus de 80% (A) voire 90% (AM) des cas, </w:t>
            </w:r>
          </w:p>
        </w:tc>
        <w:tc>
          <w:tcPr>
            <w:tcW w:w="3120" w:type="dxa"/>
          </w:tcPr>
          <w:p w14:paraId="65B95289"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5C96173D" w14:textId="77777777" w:rsidTr="00B01312">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A3CBFC1" w14:textId="77777777" w:rsidR="00B01312" w:rsidRDefault="00FF5CD5">
            <w:pPr>
              <w:jc w:val="center"/>
              <w:rPr>
                <w:color w:val="000000"/>
              </w:rPr>
            </w:pPr>
            <w:r>
              <w:rPr>
                <w:color w:val="000000"/>
              </w:rPr>
              <w:t>Validation et annulation des touches</w:t>
            </w:r>
          </w:p>
        </w:tc>
        <w:tc>
          <w:tcPr>
            <w:tcW w:w="4714" w:type="dxa"/>
            <w:vAlign w:val="center"/>
          </w:tcPr>
          <w:p w14:paraId="1795377E"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Les cas d’annulation de touches sont connus et appliqués avec justesse. L</w:t>
            </w:r>
            <w:r>
              <w:rPr>
                <w:sz w:val="20"/>
                <w:szCs w:val="20"/>
              </w:rPr>
              <w:t>es décisions prises suite à un fait de match (corps à corps, dépassement, sortie de piste) sont faites dans le respect du règlement technique</w:t>
            </w:r>
          </w:p>
        </w:tc>
        <w:tc>
          <w:tcPr>
            <w:tcW w:w="3120" w:type="dxa"/>
          </w:tcPr>
          <w:p w14:paraId="527E9139"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r w:rsidR="00B01312" w14:paraId="2727E60A" w14:textId="77777777" w:rsidTr="00B01312">
        <w:trPr>
          <w:trHeight w:val="1221"/>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05066FB5" w14:textId="77777777" w:rsidR="00B01312" w:rsidRDefault="00FF5CD5">
            <w:pPr>
              <w:jc w:val="center"/>
            </w:pPr>
            <w:r>
              <w:rPr>
                <w:color w:val="000000"/>
              </w:rPr>
              <w:t>Contrôle matériel</w:t>
            </w:r>
          </w:p>
        </w:tc>
        <w:tc>
          <w:tcPr>
            <w:tcW w:w="4714" w:type="dxa"/>
            <w:vAlign w:val="center"/>
          </w:tcPr>
          <w:p w14:paraId="62F81F7C" w14:textId="77777777" w:rsidR="00B01312" w:rsidRDefault="00FF5CD5">
            <w:pPr>
              <w:jc w:val="both"/>
              <w:cnfStyle w:val="000000000000" w:firstRow="0" w:lastRow="0" w:firstColumn="0" w:lastColumn="0" w:oddVBand="0" w:evenVBand="0" w:oddHBand="0" w:evenHBand="0" w:firstRowFirstColumn="0" w:firstRowLastColumn="0" w:lastRowFirstColumn="0" w:lastRowLastColumn="0"/>
              <w:rPr>
                <w:sz w:val="20"/>
                <w:szCs w:val="20"/>
              </w:rPr>
            </w:pPr>
            <w:r>
              <w:rPr>
                <w:color w:val="000000"/>
                <w:sz w:val="20"/>
                <w:szCs w:val="20"/>
              </w:rPr>
              <w:t>Contrôler le matériel en début de poule ou de match (équipement, armes)</w:t>
            </w:r>
          </w:p>
        </w:tc>
        <w:tc>
          <w:tcPr>
            <w:tcW w:w="3120" w:type="dxa"/>
          </w:tcPr>
          <w:p w14:paraId="63DCC2BE" w14:textId="77777777" w:rsidR="00B01312" w:rsidRDefault="00B01312">
            <w:pPr>
              <w:jc w:val="center"/>
              <w:cnfStyle w:val="000000000000" w:firstRow="0" w:lastRow="0" w:firstColumn="0" w:lastColumn="0" w:oddVBand="0" w:evenVBand="0" w:oddHBand="0" w:evenHBand="0" w:firstRowFirstColumn="0" w:firstRowLastColumn="0" w:lastRowFirstColumn="0" w:lastRowLastColumn="0"/>
              <w:rPr>
                <w:b/>
              </w:rPr>
            </w:pPr>
          </w:p>
        </w:tc>
      </w:tr>
    </w:tbl>
    <w:p w14:paraId="40B0E081" w14:textId="77777777" w:rsidR="00B01312" w:rsidRDefault="00B01312" w:rsidP="00233749">
      <w:pPr>
        <w:spacing w:after="0" w:line="240" w:lineRule="auto"/>
        <w:rPr>
          <w:b/>
        </w:rPr>
      </w:pPr>
    </w:p>
    <w:sectPr w:rsidR="00B01312">
      <w:headerReference w:type="default" r:id="rId7"/>
      <w:footerReference w:type="default" r:id="rId8"/>
      <w:pgSz w:w="11906" w:h="16838"/>
      <w:pgMar w:top="2552" w:right="1416" w:bottom="1418" w:left="1418" w:header="397"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2CCD8" w14:textId="77777777" w:rsidR="00D06DD6" w:rsidRDefault="00D06DD6">
      <w:pPr>
        <w:spacing w:after="0" w:line="240" w:lineRule="auto"/>
      </w:pPr>
      <w:r>
        <w:separator/>
      </w:r>
    </w:p>
  </w:endnote>
  <w:endnote w:type="continuationSeparator" w:id="0">
    <w:p w14:paraId="1F8ACBD1" w14:textId="77777777" w:rsidR="00D06DD6" w:rsidRDefault="00D06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BE83D" w14:textId="77777777" w:rsidR="00B01312" w:rsidRDefault="00B01312">
    <w:pPr>
      <w:pBdr>
        <w:top w:val="nil"/>
        <w:left w:val="nil"/>
        <w:bottom w:val="nil"/>
        <w:right w:val="nil"/>
        <w:between w:val="nil"/>
      </w:pBdr>
      <w:tabs>
        <w:tab w:val="center" w:pos="4536"/>
        <w:tab w:val="right" w:pos="9072"/>
      </w:tabs>
      <w:spacing w:after="0" w:line="240" w:lineRule="auto"/>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FA9F8" w14:textId="77777777" w:rsidR="00D06DD6" w:rsidRDefault="00D06DD6">
      <w:pPr>
        <w:spacing w:after="0" w:line="240" w:lineRule="auto"/>
      </w:pPr>
      <w:r>
        <w:separator/>
      </w:r>
    </w:p>
  </w:footnote>
  <w:footnote w:type="continuationSeparator" w:id="0">
    <w:p w14:paraId="387DB3F4" w14:textId="77777777" w:rsidR="00D06DD6" w:rsidRDefault="00D06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EA8B" w14:textId="77777777" w:rsidR="00B01312" w:rsidRDefault="00FF5CD5">
    <w:pPr>
      <w:pBdr>
        <w:top w:val="nil"/>
        <w:left w:val="nil"/>
        <w:bottom w:val="nil"/>
        <w:right w:val="nil"/>
        <w:between w:val="nil"/>
      </w:pBdr>
      <w:tabs>
        <w:tab w:val="center" w:pos="4536"/>
        <w:tab w:val="right" w:pos="9072"/>
      </w:tabs>
      <w:spacing w:after="0" w:line="240" w:lineRule="auto"/>
      <w:rPr>
        <w:color w:val="000000"/>
      </w:rPr>
    </w:pPr>
    <w:r>
      <w:rPr>
        <w:noProof/>
        <w:color w:val="000000"/>
      </w:rPr>
      <w:drawing>
        <wp:anchor distT="0" distB="0" distL="114300" distR="114300" simplePos="0" relativeHeight="251658240" behindDoc="0" locked="0" layoutInCell="1" hidden="0" allowOverlap="1" wp14:anchorId="58BD1B74" wp14:editId="69D310E6">
          <wp:simplePos x="0" y="0"/>
          <wp:positionH relativeFrom="margin">
            <wp:align>left</wp:align>
          </wp:positionH>
          <wp:positionV relativeFrom="margin">
            <wp:posOffset>-1363344</wp:posOffset>
          </wp:positionV>
          <wp:extent cx="942975" cy="1100455"/>
          <wp:effectExtent l="0" t="0" r="0" b="0"/>
          <wp:wrapSquare wrapText="bothSides" distT="0" distB="0" distL="114300" distR="114300"/>
          <wp:docPr id="1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42975" cy="1100455"/>
                  </a:xfrm>
                  <a:prstGeom prst="rect">
                    <a:avLst/>
                  </a:prstGeom>
                  <a:ln/>
                </pic:spPr>
              </pic:pic>
            </a:graphicData>
          </a:graphic>
        </wp:anchor>
      </w:drawing>
    </w:r>
  </w:p>
  <w:p w14:paraId="021AC0E6" w14:textId="77777777" w:rsidR="00B01312" w:rsidRDefault="00FF5CD5">
    <w:pPr>
      <w:pBdr>
        <w:top w:val="nil"/>
        <w:left w:val="nil"/>
        <w:bottom w:val="nil"/>
        <w:right w:val="nil"/>
        <w:between w:val="nil"/>
      </w:pBdr>
      <w:tabs>
        <w:tab w:val="center" w:pos="4536"/>
        <w:tab w:val="right" w:pos="9072"/>
      </w:tabs>
      <w:spacing w:after="0" w:line="240" w:lineRule="auto"/>
      <w:ind w:right="-1418"/>
      <w:rPr>
        <w:color w:val="000000"/>
      </w:rPr>
    </w:pPr>
    <w:r>
      <w:rPr>
        <w:noProof/>
      </w:rPr>
      <mc:AlternateContent>
        <mc:Choice Requires="wpg">
          <w:drawing>
            <wp:anchor distT="0" distB="0" distL="114300" distR="114300" simplePos="0" relativeHeight="251659264" behindDoc="0" locked="0" layoutInCell="1" hidden="0" allowOverlap="1" wp14:anchorId="613C26A3" wp14:editId="5BA3284F">
              <wp:simplePos x="0" y="0"/>
              <wp:positionH relativeFrom="column">
                <wp:posOffset>558800</wp:posOffset>
              </wp:positionH>
              <wp:positionV relativeFrom="paragraph">
                <wp:posOffset>774700</wp:posOffset>
              </wp:positionV>
              <wp:extent cx="6067425" cy="12700"/>
              <wp:effectExtent l="0" t="0" r="0" b="0"/>
              <wp:wrapNone/>
              <wp:docPr id="15" name="Connector: Elbow 15"/>
              <wp:cNvGraphicFramePr/>
              <a:graphic xmlns:a="http://schemas.openxmlformats.org/drawingml/2006/main">
                <a:graphicData uri="http://schemas.microsoft.com/office/word/2010/wordprocessingShape">
                  <wps:wsp>
                    <wps:cNvCnPr/>
                    <wps:spPr>
                      <a:xfrm>
                        <a:off x="2312288" y="3780000"/>
                        <a:ext cx="6067425" cy="0"/>
                      </a:xfrm>
                      <a:prstGeom prst="bentConnector3">
                        <a:avLst>
                          <a:gd name="adj1" fmla="val 49995"/>
                        </a:avLst>
                      </a:prstGeom>
                      <a:noFill/>
                      <a:ln w="9525" cap="flat" cmpd="sng">
                        <a:solidFill>
                          <a:schemeClr val="dk1"/>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558800</wp:posOffset>
              </wp:positionH>
              <wp:positionV relativeFrom="paragraph">
                <wp:posOffset>774700</wp:posOffset>
              </wp:positionV>
              <wp:extent cx="6067425" cy="12700"/>
              <wp:effectExtent b="0" l="0" r="0" t="0"/>
              <wp:wrapNone/>
              <wp:docPr id="15"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6067425" cy="12700"/>
                      </a:xfrm>
                      <a:prstGeom prst="rect"/>
                      <a:ln/>
                    </pic:spPr>
                  </pic:pic>
                </a:graphicData>
              </a:graphic>
            </wp:anchor>
          </w:drawing>
        </mc:Fallback>
      </mc:AlternateContent>
    </w:r>
    <w:r>
      <w:rPr>
        <w:noProof/>
      </w:rPr>
      <mc:AlternateContent>
        <mc:Choice Requires="wps">
          <w:drawing>
            <wp:anchor distT="45720" distB="45720" distL="114300" distR="114300" simplePos="0" relativeHeight="251660288" behindDoc="0" locked="0" layoutInCell="1" hidden="0" allowOverlap="1" wp14:anchorId="1D4E4A86" wp14:editId="5F8DB8C4">
              <wp:simplePos x="0" y="0"/>
              <wp:positionH relativeFrom="column">
                <wp:posOffset>508000</wp:posOffset>
              </wp:positionH>
              <wp:positionV relativeFrom="paragraph">
                <wp:posOffset>490220</wp:posOffset>
              </wp:positionV>
              <wp:extent cx="5426710" cy="869950"/>
              <wp:effectExtent l="0" t="0" r="0" b="0"/>
              <wp:wrapSquare wrapText="bothSides" distT="45720" distB="45720" distL="114300" distR="114300"/>
              <wp:docPr id="14" name="Rectangle 14"/>
              <wp:cNvGraphicFramePr/>
              <a:graphic xmlns:a="http://schemas.openxmlformats.org/drawingml/2006/main">
                <a:graphicData uri="http://schemas.microsoft.com/office/word/2010/wordprocessingShape">
                  <wps:wsp>
                    <wps:cNvSpPr/>
                    <wps:spPr>
                      <a:xfrm>
                        <a:off x="2637408" y="3349788"/>
                        <a:ext cx="5417185" cy="860425"/>
                      </a:xfrm>
                      <a:prstGeom prst="rect">
                        <a:avLst/>
                      </a:prstGeom>
                      <a:noFill/>
                      <a:ln>
                        <a:noFill/>
                      </a:ln>
                    </wps:spPr>
                    <wps:txbx>
                      <w:txbxContent>
                        <w:p w14:paraId="5AF618FC" w14:textId="77777777" w:rsidR="00B01312" w:rsidRDefault="00FF5CD5">
                          <w:pPr>
                            <w:spacing w:line="275" w:lineRule="auto"/>
                            <w:jc w:val="right"/>
                            <w:textDirection w:val="btLr"/>
                          </w:pPr>
                          <w:r>
                            <w:rPr>
                              <w:rFonts w:ascii="Corbel" w:eastAsia="Corbel" w:hAnsi="Corbel" w:cs="Corbel"/>
                              <w:b/>
                              <w:i/>
                              <w:color w:val="000000"/>
                            </w:rPr>
                            <w:t xml:space="preserve">Commission Nationale d’Arbitrage – Nationale Arbitrage </w:t>
                          </w:r>
                          <w:proofErr w:type="spellStart"/>
                          <w:r>
                            <w:rPr>
                              <w:rFonts w:ascii="Corbel" w:eastAsia="Corbel" w:hAnsi="Corbel" w:cs="Corbel"/>
                              <w:b/>
                              <w:i/>
                              <w:color w:val="000000"/>
                            </w:rPr>
                            <w:t>Commissie</w:t>
                          </w:r>
                          <w:proofErr w:type="spellEnd"/>
                        </w:p>
                      </w:txbxContent>
                    </wps:txbx>
                    <wps:bodyPr spcFirstLastPara="1" wrap="square" lIns="91425" tIns="45700" rIns="91425" bIns="45700" anchor="t" anchorCtr="0">
                      <a:noAutofit/>
                    </wps:bodyPr>
                  </wps:wsp>
                </a:graphicData>
              </a:graphic>
            </wp:anchor>
          </w:drawing>
        </mc:Choice>
        <mc:Fallback>
          <w:pict>
            <v:rect w14:anchorId="1D4E4A86" id="Rectangle 14" o:spid="_x0000_s1026" style="position:absolute;margin-left:40pt;margin-top:38.6pt;width:427.3pt;height:68.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" filled="f" stroked="f">
              <v:textbox inset="2.53958mm,1.2694mm,2.53958mm,1.2694mm">
                <w:txbxContent>
                  <w:p w14:paraId="5AF618FC" w14:textId="77777777" w:rsidR="00B01312" w:rsidRDefault="00FF5CD5">
                    <w:pPr>
                      <w:spacing w:line="275" w:lineRule="auto"/>
                      <w:jc w:val="right"/>
                      <w:textDirection w:val="btLr"/>
                    </w:pPr>
                    <w:r>
                      <w:rPr>
                        <w:rFonts w:ascii="Corbel" w:eastAsia="Corbel" w:hAnsi="Corbel" w:cs="Corbel"/>
                        <w:b/>
                        <w:i/>
                        <w:color w:val="000000"/>
                      </w:rPr>
                      <w:t>Commission Nationale d’Arbitrage – Nationale Arbitrage Commissie</w:t>
                    </w:r>
                  </w:p>
                </w:txbxContent>
              </v:textbox>
              <w10:wrap type="squar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312"/>
    <w:rsid w:val="00233749"/>
    <w:rsid w:val="005719B5"/>
    <w:rsid w:val="007F0526"/>
    <w:rsid w:val="00873D19"/>
    <w:rsid w:val="00B01312"/>
    <w:rsid w:val="00D06DD6"/>
    <w:rsid w:val="00FF5CD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CD2CB"/>
  <w15:docId w15:val="{E5B952AF-E976-4127-A8AA-9DA052D4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nl-B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23CCC"/>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F28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F289D"/>
  </w:style>
  <w:style w:type="paragraph" w:styleId="Voettekst">
    <w:name w:val="footer"/>
    <w:basedOn w:val="Standaard"/>
    <w:link w:val="VoettekstChar"/>
    <w:uiPriority w:val="99"/>
    <w:unhideWhenUsed/>
    <w:rsid w:val="000F28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F289D"/>
  </w:style>
  <w:style w:type="character" w:styleId="Hyperlink">
    <w:name w:val="Hyperlink"/>
    <w:basedOn w:val="Standaardalinea-lettertype"/>
    <w:uiPriority w:val="99"/>
    <w:unhideWhenUsed/>
    <w:rsid w:val="00351E2E"/>
    <w:rPr>
      <w:color w:val="0000FF" w:themeColor="hyperlink"/>
      <w:u w:val="single"/>
    </w:rPr>
  </w:style>
  <w:style w:type="character" w:customStyle="1" w:styleId="Mentionnonrsolue1">
    <w:name w:val="Mention non résolue1"/>
    <w:basedOn w:val="Standaardalinea-lettertype"/>
    <w:uiPriority w:val="99"/>
    <w:semiHidden/>
    <w:unhideWhenUsed/>
    <w:rsid w:val="00351E2E"/>
    <w:rPr>
      <w:color w:val="808080"/>
      <w:shd w:val="clear" w:color="auto" w:fill="E6E6E6"/>
    </w:rPr>
  </w:style>
  <w:style w:type="paragraph" w:styleId="Lijstalinea">
    <w:name w:val="List Paragraph"/>
    <w:basedOn w:val="Standaard"/>
    <w:uiPriority w:val="34"/>
    <w:qFormat/>
    <w:rsid w:val="00E1703F"/>
    <w:pPr>
      <w:ind w:left="720"/>
      <w:contextualSpacing/>
    </w:pPr>
  </w:style>
  <w:style w:type="paragraph" w:styleId="Ballontekst">
    <w:name w:val="Balloon Text"/>
    <w:basedOn w:val="Standaard"/>
    <w:link w:val="BallontekstChar"/>
    <w:uiPriority w:val="99"/>
    <w:semiHidden/>
    <w:unhideWhenUsed/>
    <w:rsid w:val="00805FD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5FD0"/>
    <w:rPr>
      <w:rFonts w:ascii="Segoe UI" w:hAnsi="Segoe UI" w:cs="Segoe UI"/>
      <w:sz w:val="18"/>
      <w:szCs w:val="18"/>
    </w:rPr>
  </w:style>
  <w:style w:type="table" w:styleId="Tabelraster">
    <w:name w:val="Table Grid"/>
    <w:basedOn w:val="Standaardtabel"/>
    <w:uiPriority w:val="59"/>
    <w:rsid w:val="007D6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2">
    <w:name w:val="Mention non résolue2"/>
    <w:basedOn w:val="Standaardalinea-lettertype"/>
    <w:uiPriority w:val="99"/>
    <w:semiHidden/>
    <w:unhideWhenUsed/>
    <w:rsid w:val="00703AB8"/>
    <w:rPr>
      <w:color w:val="605E5C"/>
      <w:shd w:val="clear" w:color="auto" w:fill="E1DFDD"/>
    </w:rPr>
  </w:style>
  <w:style w:type="table" w:styleId="Lichtelijst">
    <w:name w:val="Light List"/>
    <w:basedOn w:val="Standaardtabel"/>
    <w:uiPriority w:val="61"/>
    <w:rsid w:val="00286BC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emiddeldearcering2">
    <w:name w:val="Medium Shading 2"/>
    <w:basedOn w:val="Standaardtabel"/>
    <w:uiPriority w:val="64"/>
    <w:rsid w:val="00286B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erwijzingopmerking">
    <w:name w:val="annotation reference"/>
    <w:basedOn w:val="Standaardalinea-lettertype"/>
    <w:uiPriority w:val="99"/>
    <w:semiHidden/>
    <w:unhideWhenUsed/>
    <w:rsid w:val="00286BCC"/>
    <w:rPr>
      <w:sz w:val="16"/>
      <w:szCs w:val="16"/>
    </w:rPr>
  </w:style>
  <w:style w:type="paragraph" w:styleId="Tekstopmerking">
    <w:name w:val="annotation text"/>
    <w:basedOn w:val="Standaard"/>
    <w:link w:val="TekstopmerkingChar"/>
    <w:uiPriority w:val="99"/>
    <w:semiHidden/>
    <w:unhideWhenUsed/>
    <w:rsid w:val="00286BC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86BCC"/>
    <w:rPr>
      <w:sz w:val="20"/>
      <w:szCs w:val="20"/>
    </w:rPr>
  </w:style>
  <w:style w:type="table" w:styleId="Rastertabel2-Accent6">
    <w:name w:val="Grid Table 2 Accent 6"/>
    <w:basedOn w:val="Standaardtabel"/>
    <w:uiPriority w:val="47"/>
    <w:rsid w:val="002E0A01"/>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Rastertabel3-Accent6">
    <w:name w:val="Grid Table 3 Accent 6"/>
    <w:basedOn w:val="Standaardtabel"/>
    <w:uiPriority w:val="48"/>
    <w:rsid w:val="00FB2A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Rastertabel3">
    <w:name w:val="Grid Table 3"/>
    <w:basedOn w:val="Standaardtabel"/>
    <w:uiPriority w:val="48"/>
    <w:rsid w:val="00546A9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1licht">
    <w:name w:val="Grid Table 1 Light"/>
    <w:basedOn w:val="Standaardtabel"/>
    <w:uiPriority w:val="46"/>
    <w:rsid w:val="00A306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Pr>
    <w:tblStylePr w:type="firstRow">
      <w:rPr>
        <w:b/>
      </w:rPr>
      <w:tblPr/>
      <w:tcPr>
        <w:tcBorders>
          <w:top w:val="nil"/>
          <w:left w:val="nil"/>
          <w:right w:val="nil"/>
          <w:insideH w:val="nil"/>
          <w:insideV w:val="nil"/>
        </w:tcBorders>
        <w:shd w:val="clear" w:color="auto" w:fill="FFFFFF"/>
      </w:tcPr>
    </w:tblStylePr>
    <w:tblStylePr w:type="lastRow">
      <w:rPr>
        <w:b/>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a0">
    <w:basedOn w:val="Standaardtabel"/>
    <w:pPr>
      <w:spacing w:after="0" w:line="240" w:lineRule="auto"/>
    </w:p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1">
    <w:basedOn w:val="Standaardtabel"/>
    <w:pPr>
      <w:spacing w:after="0" w:line="240" w:lineRule="auto"/>
    </w:p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2">
    <w:basedOn w:val="Standaardtabel"/>
    <w:pPr>
      <w:spacing w:after="0" w:line="240" w:lineRule="auto"/>
    </w:p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U8o1K4Hz+cxWMu4blADGllRj7Q==">AMUW2mUPdux/Z5oqgT/jQScvpK+A7WUSe5/WPVccVlXnHfYciCqJMjshGvjNiF+7MvYkpR9RnCYVmVf7Ip+yUIP8xfVa1rjjlXUx7Iv/tD5LqZgregLClrQ=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426</Words>
  <Characters>2348</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Fenoul</dc:creator>
  <cp:lastModifiedBy>Merlin Deramaix</cp:lastModifiedBy>
  <cp:revision>4</cp:revision>
  <dcterms:created xsi:type="dcterms:W3CDTF">2021-06-07T08:25:00Z</dcterms:created>
  <dcterms:modified xsi:type="dcterms:W3CDTF">2022-02-17T14:41:00Z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d06422-c515-4a4e-a1f2-e6a0c0200eae_Enabled">
    <vt:lpwstr>true</vt:lpwstr>
  </property>
  <property fmtid="{D5CDD505-2E9C-101B-9397-08002B2CF9AE}" pid="3" name="MSIP_Label_ced06422-c515-4a4e-a1f2-e6a0c0200eae_SetDate">
    <vt:lpwstr>2021-05-25T16:24:57Z</vt:lpwstr>
  </property>
  <property fmtid="{D5CDD505-2E9C-101B-9397-08002B2CF9AE}" pid="4" name="MSIP_Label_ced06422-c515-4a4e-a1f2-e6a0c0200eae_Method">
    <vt:lpwstr>Standard</vt:lpwstr>
  </property>
  <property fmtid="{D5CDD505-2E9C-101B-9397-08002B2CF9AE}" pid="5" name="MSIP_Label_ced06422-c515-4a4e-a1f2-e6a0c0200eae_Name">
    <vt:lpwstr>Unclassifed</vt:lpwstr>
  </property>
  <property fmtid="{D5CDD505-2E9C-101B-9397-08002B2CF9AE}" pid="6" name="MSIP_Label_ced06422-c515-4a4e-a1f2-e6a0c0200eae_SiteId">
    <vt:lpwstr>e339bd4b-2e3b-4035-a452-2112d502f2ff</vt:lpwstr>
  </property>
  <property fmtid="{D5CDD505-2E9C-101B-9397-08002B2CF9AE}" pid="7" name="MSIP_Label_ced06422-c515-4a4e-a1f2-e6a0c0200eae_ActionId">
    <vt:lpwstr>8bc0977c-37c0-4dea-89ae-6ae81a0eb1fa</vt:lpwstr>
  </property>
  <property fmtid="{D5CDD505-2E9C-101B-9397-08002B2CF9AE}" pid="8" name="MSIP_Label_ced06422-c515-4a4e-a1f2-e6a0c0200eae_ContentBits">
    <vt:lpwstr>0</vt:lpwstr>
  </property>
</Properties>
</file>